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3D6BA0">
        <w:rPr>
          <w:snapToGrid w:val="0"/>
        </w:rPr>
        <w:t>smlouvě</w:t>
      </w:r>
    </w:p>
    <w:p w:rsidR="001364F4" w:rsidRPr="00542083" w:rsidRDefault="00C173E6" w:rsidP="00C173E6">
      <w:pPr>
        <w:pStyle w:val="Nadpis1"/>
        <w:jc w:val="both"/>
        <w:rPr>
          <w:b w:val="0"/>
          <w:sz w:val="24"/>
          <w:szCs w:val="24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542083" w:rsidRPr="00542083">
        <w:rPr>
          <w:b w:val="0"/>
          <w:sz w:val="24"/>
          <w:szCs w:val="24"/>
        </w:rPr>
        <w:t>Rekonstrukce ul. Drobného, Nové Město na Moravě, úsek Smetanova - Výhledy – ČÁST PRO MĚSTO NOVÉ MĚSTO NA MORAVĚ</w:t>
      </w:r>
      <w:r w:rsidRPr="00542083">
        <w:rPr>
          <w:b w:val="0"/>
          <w:sz w:val="24"/>
          <w:szCs w:val="24"/>
        </w:rPr>
        <w:t>“)</w:t>
      </w:r>
    </w:p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stavby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D36B78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Spolupráce se zhotovitelem stavby při provádění opatření na odvrácení nebo omezení škod při ohrožení stavby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stavby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D36B78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BA2E71">
        <w:rPr>
          <w:sz w:val="24"/>
          <w:szCs w:val="24"/>
        </w:rPr>
        <w:t>;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637" w:rsidRDefault="00B56637">
      <w:r>
        <w:separator/>
      </w:r>
    </w:p>
  </w:endnote>
  <w:endnote w:type="continuationSeparator" w:id="0">
    <w:p w:rsidR="00B56637" w:rsidRDefault="00B56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F819CA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F819CA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42083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637" w:rsidRDefault="00B56637">
      <w:r>
        <w:separator/>
      </w:r>
    </w:p>
  </w:footnote>
  <w:footnote w:type="continuationSeparator" w:id="0">
    <w:p w:rsidR="00B56637" w:rsidRDefault="00B566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603"/>
    <w:rsid w:val="00183D3F"/>
    <w:rsid w:val="00195E2C"/>
    <w:rsid w:val="001A18DC"/>
    <w:rsid w:val="001A4DC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B7EFA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D6BA0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0A1"/>
    <w:rsid w:val="0054185A"/>
    <w:rsid w:val="00542083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4E6D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20BF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495C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5D74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491F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6637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173E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1D78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49CB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19CA"/>
    <w:rsid w:val="00F8486D"/>
    <w:rsid w:val="00F9537B"/>
    <w:rsid w:val="00F957A3"/>
    <w:rsid w:val="00FB553B"/>
    <w:rsid w:val="00FB67E2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5</TotalTime>
  <Pages>3</Pages>
  <Words>984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6</cp:revision>
  <cp:lastPrinted>2013-04-22T13:00:00Z</cp:lastPrinted>
  <dcterms:created xsi:type="dcterms:W3CDTF">2021-01-05T15:07:00Z</dcterms:created>
  <dcterms:modified xsi:type="dcterms:W3CDTF">2021-01-25T13:39:00Z</dcterms:modified>
</cp:coreProperties>
</file>